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B5" w:rsidRPr="00B5346D" w:rsidRDefault="006B7E03">
      <w:pPr>
        <w:rPr>
          <w:b/>
        </w:rPr>
      </w:pPr>
      <w:r>
        <w:rPr>
          <w:b/>
        </w:rPr>
        <w:t>Одиннадцатый</w:t>
      </w:r>
      <w:r w:rsidR="00A10E01" w:rsidRPr="00B5346D">
        <w:rPr>
          <w:b/>
        </w:rPr>
        <w:t xml:space="preserve"> рейтинг</w:t>
      </w:r>
      <w:r w:rsidR="0095302C" w:rsidRPr="00B5346D">
        <w:rPr>
          <w:b/>
        </w:rPr>
        <w:t xml:space="preserve"> политической выживаемости губернаторов</w:t>
      </w:r>
    </w:p>
    <w:p w:rsidR="0095302C" w:rsidRDefault="0095302C"/>
    <w:p w:rsidR="0095302C" w:rsidRDefault="0095302C">
      <w:r>
        <w:t>Фонд «Петербургская политика» и Комм</w:t>
      </w:r>
      <w:r w:rsidR="006F4D6E">
        <w:t>уникационный холдинг «Минченко К</w:t>
      </w:r>
      <w:r>
        <w:t xml:space="preserve">онсалтинг» </w:t>
      </w:r>
      <w:r w:rsidR="00BB2B08">
        <w:t xml:space="preserve">представляют </w:t>
      </w:r>
      <w:r w:rsidR="00BB2B08">
        <w:rPr>
          <w:lang w:val="en-US"/>
        </w:rPr>
        <w:t xml:space="preserve">XI </w:t>
      </w:r>
      <w:r w:rsidR="00BB2B08">
        <w:t>рейтинг политической выживаемости губернаторов.</w:t>
      </w:r>
      <w:r w:rsidR="003A4DA3">
        <w:t xml:space="preserve"> В рамках рейтинга обобщаются экспертные оценки, позволяющие оценить вероятность сохранения главы региона на своем посту в течение ближайшего года.</w:t>
      </w:r>
    </w:p>
    <w:p w:rsidR="00A10E01" w:rsidRDefault="00A10E01"/>
    <w:p w:rsidR="00DA2973" w:rsidRPr="00A10E01" w:rsidRDefault="00DA2973" w:rsidP="00DA2973">
      <w:pPr>
        <w:rPr>
          <w:b/>
          <w:i/>
        </w:rPr>
      </w:pPr>
      <w:r w:rsidRPr="00A10E01">
        <w:rPr>
          <w:b/>
          <w:i/>
        </w:rPr>
        <w:t>Аналитический комментарий</w:t>
      </w:r>
    </w:p>
    <w:p w:rsidR="00DA2973" w:rsidRDefault="00DA2973" w:rsidP="00DA2973"/>
    <w:p w:rsidR="00E21751" w:rsidRPr="009770B0" w:rsidRDefault="00E21751" w:rsidP="00DA2973">
      <w:pPr>
        <w:rPr>
          <w:i/>
        </w:rPr>
      </w:pPr>
      <w:r w:rsidRPr="009770B0">
        <w:rPr>
          <w:i/>
        </w:rPr>
        <w:t>Михаил Виноградов, президент Фонда «Петербургская политика»</w:t>
      </w:r>
    </w:p>
    <w:p w:rsidR="00E21751" w:rsidRPr="009770B0" w:rsidRDefault="00E21751" w:rsidP="00DA2973">
      <w:pPr>
        <w:rPr>
          <w:i/>
        </w:rPr>
      </w:pPr>
      <w:r w:rsidRPr="009770B0">
        <w:rPr>
          <w:i/>
        </w:rPr>
        <w:t>Евгений Минченко, президент коммуникационного холдинга «Минченко Консалтинг»</w:t>
      </w:r>
    </w:p>
    <w:p w:rsidR="00DA2973" w:rsidRDefault="00DA2973" w:rsidP="00DA2973"/>
    <w:p w:rsidR="00DA2973" w:rsidRDefault="00DA2973" w:rsidP="00DA2973">
      <w:r>
        <w:t>Несмотря на переход к выборности глав регионов, актуальность темы политической выживаемости губернаторов осталась весьма в</w:t>
      </w:r>
      <w:bookmarkStart w:id="0" w:name="_GoBack"/>
      <w:bookmarkEnd w:id="0"/>
      <w:r>
        <w:t xml:space="preserve">ысока. Включение избирателей в число участников отбора </w:t>
      </w:r>
      <w:r w:rsidR="00267272">
        <w:t xml:space="preserve">кандидатов на пост </w:t>
      </w:r>
      <w:r>
        <w:t xml:space="preserve">главы региона не дало действующим руководителям серьезных гарантий неувольнения. А накануне перехода </w:t>
      </w:r>
      <w:r w:rsidR="00267272">
        <w:t>к процедуре</w:t>
      </w:r>
      <w:r>
        <w:t xml:space="preserve"> выборности интенсивность замен вообще оказалась беспрецедентной. Только за 60 дней, прошедших между публикацией прошлого рейтинга 2 апреля 2012 года и окончательным переходом к выборности губернаторов с 1 июня</w:t>
      </w:r>
      <w:r w:rsidR="00267272">
        <w:t>,</w:t>
      </w:r>
      <w:r>
        <w:t xml:space="preserve"> руководители исполнительной власти были заменены в 14 субъектах Федерации. Всего же со дня объявления о возврате губернаторских выборов 15 декабря 2011 года были приняты кадровые решения по 23 (из 83) российских регионов – в 20 случаях были назначены новые губернаторы, в 3 (Бурятии, Тыве и Краснодарском крае) продлены полномочия действующих.</w:t>
      </w:r>
    </w:p>
    <w:p w:rsidR="00DA2973" w:rsidRDefault="00267272" w:rsidP="00267272">
      <w:r>
        <w:t>Переход к процедуре</w:t>
      </w:r>
      <w:r w:rsidR="00DA2973">
        <w:t xml:space="preserve"> выборов в некоторой степени может стать буфером против спонтанных губернаторских отставок. Однако вариантов прерывания карьеры губернатора по-прежнему предостаточно. В их числе:</w:t>
      </w:r>
    </w:p>
    <w:p w:rsidR="00DA2973" w:rsidRDefault="00DA2973" w:rsidP="00DA2973">
      <w:pPr>
        <w:pStyle w:val="a4"/>
        <w:numPr>
          <w:ilvl w:val="0"/>
          <w:numId w:val="2"/>
        </w:numPr>
      </w:pPr>
      <w:r>
        <w:t>Отрешение президентом РФ губернатора от должности в связи с утратой доверия. В соответствии с законом оно может произойти в любой момент</w:t>
      </w:r>
      <w:r w:rsidR="003050FD">
        <w:t xml:space="preserve"> в случае выявления в отношении</w:t>
      </w:r>
      <w:r w:rsidR="00795542">
        <w:t xml:space="preserve"> главы региона фактов коррупции, </w:t>
      </w:r>
      <w:proofErr w:type="spellStart"/>
      <w:r w:rsidR="003050FD">
        <w:t>неурегулирования</w:t>
      </w:r>
      <w:proofErr w:type="spellEnd"/>
      <w:r w:rsidR="003050FD">
        <w:t xml:space="preserve"> конфликта интересов</w:t>
      </w:r>
      <w:r w:rsidR="00795542">
        <w:t>, неисполнения решений Конституционного суда</w:t>
      </w:r>
      <w:r w:rsidR="00795542">
        <w:rPr>
          <w:rStyle w:val="ab"/>
        </w:rPr>
        <w:footnoteReference w:id="1"/>
      </w:r>
      <w:r w:rsidR="003050FD">
        <w:t>.</w:t>
      </w:r>
      <w:r>
        <w:t xml:space="preserve">  На практике </w:t>
      </w:r>
      <w:r w:rsidR="00267272">
        <w:t>до последнего времени процедура применялась</w:t>
      </w:r>
      <w:r>
        <w:t xml:space="preserve"> в исключител</w:t>
      </w:r>
      <w:r w:rsidR="00267272">
        <w:t>ьных случаях и чаще использовалась</w:t>
      </w:r>
      <w:r>
        <w:t xml:space="preserve"> формулировка «по собственному желанию».</w:t>
      </w:r>
      <w:r w:rsidR="003050FD">
        <w:rPr>
          <w:lang w:val="en-US"/>
        </w:rPr>
        <w:t xml:space="preserve"> </w:t>
      </w:r>
      <w:r w:rsidR="003050FD">
        <w:t xml:space="preserve">Возможность назначить и.о. губернатора со сроком полномочий до следующего сентября в некоторых случаях психологически облегчает замену: ведь в случае неудачного старта у федерального Центра сохранится возможность для маневра и замены на выборах «временного» </w:t>
      </w:r>
      <w:r w:rsidR="00267272">
        <w:t>губернатора другой кандидатурой;</w:t>
      </w:r>
    </w:p>
    <w:p w:rsidR="00BB209F" w:rsidRDefault="003050FD" w:rsidP="00BB209F">
      <w:pPr>
        <w:pStyle w:val="a4"/>
        <w:numPr>
          <w:ilvl w:val="0"/>
          <w:numId w:val="2"/>
        </w:numPr>
      </w:pPr>
      <w:r>
        <w:t>Назначение нового и.о. губернатора в связи с истечением срока полномочий губернатора. Отсутствие в 2012 году подобных прецедентов объясняется масштабной заменой глав регионов, проведенной накануне вступлен</w:t>
      </w:r>
      <w:r w:rsidR="00891181">
        <w:t>ия в силу нового закона о выборе</w:t>
      </w:r>
      <w:r>
        <w:t xml:space="preserve"> губернаторов 1 июня.</w:t>
      </w:r>
      <w:r w:rsidR="000E6A70">
        <w:t xml:space="preserve"> Интересно, что как минимум</w:t>
      </w:r>
      <w:r w:rsidR="00BB209F">
        <w:t xml:space="preserve"> в 3 из 5 регионов, где срок полномочий глав истекает до сентября 2013 года (в Магаданской области, Забайкальском и Хабаровском краях) </w:t>
      </w:r>
      <w:r w:rsidR="00BB209F">
        <w:lastRenderedPageBreak/>
        <w:t>федеральный Центр держит паузу, не торопясь разъяснять намерения относительно шансов действующих глав получить статус на период между истечением сроков полн</w:t>
      </w:r>
      <w:r w:rsidR="00267272">
        <w:t>омочий и сентябрьскими выборами;</w:t>
      </w:r>
      <w:r w:rsidR="00BB209F">
        <w:t xml:space="preserve"> </w:t>
      </w:r>
    </w:p>
    <w:p w:rsidR="003050FD" w:rsidRDefault="00DA2973" w:rsidP="003050FD">
      <w:pPr>
        <w:pStyle w:val="a4"/>
        <w:numPr>
          <w:ilvl w:val="0"/>
          <w:numId w:val="2"/>
        </w:numPr>
      </w:pPr>
      <w:r>
        <w:t xml:space="preserve">Перевод губернатора на другую работу. Прежние замены </w:t>
      </w:r>
      <w:r w:rsidR="003050FD">
        <w:t xml:space="preserve">(если иметь в виду уход на сопоставимую должность) </w:t>
      </w:r>
      <w:r>
        <w:t>касались назначения полпредами (А.Хл</w:t>
      </w:r>
      <w:r w:rsidR="001C1141">
        <w:t>опонин, В.Ишаев, В.Толоконский) и</w:t>
      </w:r>
      <w:r>
        <w:t xml:space="preserve"> перевода в другой регион (Н.Меркушкин). </w:t>
      </w:r>
      <w:r w:rsidR="003050FD">
        <w:t>Количе</w:t>
      </w:r>
      <w:r w:rsidR="00267272">
        <w:t>ство таких случаев невелико. Не</w:t>
      </w:r>
      <w:r w:rsidR="003050FD">
        <w:t xml:space="preserve">случайно, несмотря на </w:t>
      </w:r>
      <w:r>
        <w:t xml:space="preserve">практически полное обновление </w:t>
      </w:r>
      <w:r w:rsidR="003050FD">
        <w:t xml:space="preserve">федерального </w:t>
      </w:r>
      <w:r>
        <w:t xml:space="preserve">кабинета министров, </w:t>
      </w:r>
      <w:r w:rsidR="003050FD">
        <w:t xml:space="preserve">министерские посты не достались ни одному из губернаторов. </w:t>
      </w:r>
      <w:r>
        <w:t xml:space="preserve">Чаще </w:t>
      </w:r>
      <w:r w:rsidR="003050FD">
        <w:t xml:space="preserve">новое </w:t>
      </w:r>
      <w:r>
        <w:t>назначение происходит уже спустя некоторое время после отставки (как это было с приходом В.Гаевского и С.Дарькина в Минрегионразвития</w:t>
      </w:r>
      <w:r w:rsidR="00267272">
        <w:t xml:space="preserve"> или Н. Федорова в Минсельхоз);</w:t>
      </w:r>
    </w:p>
    <w:p w:rsidR="00DA2973" w:rsidRDefault="00DA2973" w:rsidP="00E21751">
      <w:pPr>
        <w:pStyle w:val="a4"/>
        <w:numPr>
          <w:ilvl w:val="0"/>
          <w:numId w:val="2"/>
        </w:numPr>
      </w:pPr>
      <w:r>
        <w:t>Поражение на губернаторских выборах. Несмотря на очевидную зарегулированность существующего выборного законодательства, такая перспектива не является чисто теоретической.</w:t>
      </w:r>
      <w:r w:rsidR="00E21751">
        <w:t xml:space="preserve"> Более того, перенос единого дня голосования на сентябрь нельзя назвать комфортным ни для оппозиции, ни для власти. Этот шаг работает на снижение явки (особенно в г</w:t>
      </w:r>
      <w:r w:rsidR="00267272">
        <w:t>ородах), что выгод</w:t>
      </w:r>
      <w:r w:rsidR="00E21751">
        <w:t>но для действующего главы региона. Однако в случае конкурентного сценария выборов и наличия «раскрученного» кандидата-оппонента перенос решающей фазы кампании на июль-август затрудняет для провластных кандидатов привлечение бюджетников (особенно учителей и чиновников) из-за сезона отпусков и неизбежно снижает скорость реагирования предвыборного штаба на выпады оппонентов.</w:t>
      </w:r>
    </w:p>
    <w:p w:rsidR="00DA2973" w:rsidRDefault="00DA2973" w:rsidP="00DA2973"/>
    <w:p w:rsidR="00A40D46" w:rsidRDefault="00A40D46" w:rsidP="00DA2973">
      <w:r>
        <w:t>В числе других тенденций, обо</w:t>
      </w:r>
      <w:r w:rsidR="000E6A70">
        <w:t>значившихся в середине 2012 года</w:t>
      </w:r>
      <w:r>
        <w:t>, следует выделить:</w:t>
      </w:r>
    </w:p>
    <w:p w:rsidR="00BB209F" w:rsidRDefault="00BB209F" w:rsidP="00DA2973"/>
    <w:p w:rsidR="00A40D46" w:rsidRDefault="00A40D46" w:rsidP="00DA2973">
      <w:r>
        <w:t>1. Рост стремления глав регионов инициировать проведение досрочных выборах через собственную квазиотставку – как это было в случае главы Рязанской области О.Ковалева. По име</w:t>
      </w:r>
      <w:r w:rsidR="00267272">
        <w:t>ющимся данным, весной–</w:t>
      </w:r>
      <w:r>
        <w:t xml:space="preserve">летом </w:t>
      </w:r>
      <w:r w:rsidR="00267272">
        <w:t xml:space="preserve">2012 г. </w:t>
      </w:r>
      <w:r>
        <w:t>целый ряд глав регионов лоббировали для себя подобный сцена</w:t>
      </w:r>
      <w:r w:rsidR="000E6A70">
        <w:t>рий. Первоначально федеральный Ц</w:t>
      </w:r>
      <w:r>
        <w:t xml:space="preserve">ентр жестко пресекал такие попытки и даже пошел на демонстративную замену главы Пермского края О.Чиркунова, публично обещавшего инициировать новые выборы сразу после вступления в действие нового закона. Большая часть аналогичных просьб (число которых, по некоторым данным, измерялось десятками) Центр отклонил, однако в последний момент внезапно сделал исключение для Рязанской области. Апелляция к прецеденту Ковалева, скорее всего, будет широко использоваться </w:t>
      </w:r>
      <w:r w:rsidR="00267272">
        <w:t>г</w:t>
      </w:r>
      <w:r>
        <w:t xml:space="preserve">лавами регионов в надежде инициировать проведение всеобщих выборов в сентябре 2013 года. Дополнительные аргументы случай Ковалева </w:t>
      </w:r>
      <w:r w:rsidR="00267272">
        <w:t xml:space="preserve">(особенно если ему удастся </w:t>
      </w:r>
      <w:r w:rsidR="001C1141">
        <w:t>добиться победы</w:t>
      </w:r>
      <w:r w:rsidR="00267272">
        <w:t xml:space="preserve">) </w:t>
      </w:r>
      <w:r>
        <w:t xml:space="preserve">даст </w:t>
      </w:r>
      <w:r w:rsidR="001C1141">
        <w:t xml:space="preserve">тем </w:t>
      </w:r>
      <w:r>
        <w:t>главам, чьи полномочия будут истекать между едиными днями голосования в сентябре 2013 и 2014 годов</w:t>
      </w:r>
      <w:r w:rsidR="001C1141">
        <w:t xml:space="preserve"> (14 регионов)</w:t>
      </w:r>
      <w:r>
        <w:t>. Впрочем, это относится только к достаточно популярным и ресурсным губернаторам, имеющим навыки публичной политической конкуренции. Наряду с ними существует и категория губернаторов, надеющихся н</w:t>
      </w:r>
      <w:r w:rsidR="000E6A70">
        <w:t>а максимальную отсрочку выборов.</w:t>
      </w:r>
    </w:p>
    <w:p w:rsidR="00BB209F" w:rsidRDefault="00BB209F" w:rsidP="00A40D46"/>
    <w:p w:rsidR="004D7E8A" w:rsidRDefault="00A40D46" w:rsidP="00A40D46">
      <w:r>
        <w:t>2. У</w:t>
      </w:r>
      <w:r w:rsidR="000E6A70">
        <w:t>силение</w:t>
      </w:r>
      <w:r>
        <w:t xml:space="preserve"> </w:t>
      </w:r>
      <w:r w:rsidR="00267272">
        <w:t>внимания</w:t>
      </w:r>
      <w:r>
        <w:t xml:space="preserve"> </w:t>
      </w:r>
      <w:r w:rsidR="00267272">
        <w:t xml:space="preserve">действующих </w:t>
      </w:r>
      <w:r>
        <w:t xml:space="preserve">глав регионов к формированию корпуса муниципальных депутатов с целью использования «фильтра» в качестве механизма отсева сильных конкурентов. Предусмотренные в действующем законе ограничения на максимальное количество подписей, подаваемых депутатами за конкретную кандидатуру, легко обходятся – путем принуждения к подписанию депутатов за технических кандидатов от оппозиционных и квазиоппозиционных партий, а в некоторых случаях </w:t>
      </w:r>
      <w:r w:rsidR="000E6A70">
        <w:t>– и через навязывание депутатам</w:t>
      </w:r>
      <w:r>
        <w:t xml:space="preserve"> предложения поставить подпись под чистыми листами, на которых</w:t>
      </w:r>
      <w:r w:rsidR="001C1141">
        <w:t xml:space="preserve"> фамилия кандидата в губернаторы</w:t>
      </w:r>
      <w:r w:rsidR="000E6A70">
        <w:t xml:space="preserve"> и вовсе не указана</w:t>
      </w:r>
      <w:r>
        <w:t xml:space="preserve">. В то же время здесь </w:t>
      </w:r>
      <w:r>
        <w:lastRenderedPageBreak/>
        <w:t>возможно возникновение коллизий, связанных с отсутствием четкого регулирования процедуры отзыва</w:t>
      </w:r>
      <w:r w:rsidR="004D7E8A">
        <w:t xml:space="preserve"> поставленных ранее подписей. Необходимость контроля над депутатским корпусом также повышает значимость использования п</w:t>
      </w:r>
      <w:r w:rsidR="00C645AA">
        <w:t>артийных рычагов – вне зависимости</w:t>
      </w:r>
      <w:r w:rsidR="004D7E8A">
        <w:t xml:space="preserve"> от той роли, которую федеральная власть план</w:t>
      </w:r>
      <w:r w:rsidR="00C645AA">
        <w:t xml:space="preserve">ирует отводить </w:t>
      </w:r>
      <w:r w:rsidR="000E6A70">
        <w:t>«Единой России».</w:t>
      </w:r>
    </w:p>
    <w:p w:rsidR="00BB209F" w:rsidRDefault="00BB209F" w:rsidP="004D7E8A"/>
    <w:p w:rsidR="004D7E8A" w:rsidRDefault="004D7E8A" w:rsidP="004D7E8A">
      <w:r>
        <w:t>3. Общее увеличение количества губернаторов-«середняков» за счет «зачистки» аутсайдеров и ослабления позиций вчерашних фаворитов. Интересно, что даже новоназначенные губернаторы редко могут рассчитывать на «пятерку». Конечно, замена прежнего непопулярного главы региона нередко приходит к повышению ожиданий общества от власти (как это было в Карели</w:t>
      </w:r>
      <w:r w:rsidR="000E6A70">
        <w:t>и</w:t>
      </w:r>
      <w:r>
        <w:t xml:space="preserve">, Приморье, Архангельской области), но немало прецедентов, когда новый губернатор оказывается менее влиятельной (а подчас и </w:t>
      </w:r>
      <w:r w:rsidR="00C645AA">
        <w:t xml:space="preserve">менее </w:t>
      </w:r>
      <w:r>
        <w:t xml:space="preserve">популярной) </w:t>
      </w:r>
      <w:r w:rsidR="00C645AA">
        <w:t>фиг</w:t>
      </w:r>
      <w:r w:rsidR="000E6A70">
        <w:t>урой, чем его предшественник.</w:t>
      </w:r>
    </w:p>
    <w:p w:rsidR="00BB209F" w:rsidRDefault="00BB209F" w:rsidP="004D7E8A"/>
    <w:p w:rsidR="004D7E8A" w:rsidRDefault="004D7E8A" w:rsidP="004D7E8A">
      <w:r>
        <w:t>4. Относительно нейтральная реакция населения на досрочные замены губернаторов, означавшие отсрочку обещанных прямых выборов на 5 лет. Отчасти это можно объяснить неинформированностью граждан о возвращении выборов. Однако здесь возможно и появление нового риска: в тех регионах, где граждане одномоментно узнают о переходе к выборам и об их фактической безальтернативности, не приходится рассчитывать ни на принципиально новое качество легитимности глав</w:t>
      </w:r>
      <w:r w:rsidR="000E6A70">
        <w:t>ы</w:t>
      </w:r>
      <w:r>
        <w:t xml:space="preserve"> региона, ни на готовность действующего руководителя изменить сти</w:t>
      </w:r>
      <w:r w:rsidR="00C645AA">
        <w:t>ль управления. Не</w:t>
      </w:r>
      <w:r>
        <w:t>случайно только двое из губернаторов, имеющих гарантированные шансы на переизбрание 14 октября, получили оценки «5» - остальным укрепление политических позиций после победы над «отфильтрованными» конкурента</w:t>
      </w:r>
      <w:r w:rsidR="000E6A70">
        <w:t>ми отнюдь не гарантировано.</w:t>
      </w:r>
    </w:p>
    <w:p w:rsidR="00BB209F" w:rsidRDefault="00BB209F" w:rsidP="00BB209F"/>
    <w:p w:rsidR="00C645AA" w:rsidRDefault="004D7E8A" w:rsidP="00BB209F">
      <w:r>
        <w:t>5. Возм</w:t>
      </w:r>
      <w:r w:rsidR="000E6A70">
        <w:t>ожность выдвижения федеральным Ц</w:t>
      </w:r>
      <w:r>
        <w:t>ентром новых инициатив, становящихся стрессом для части губернаторов. Так уже произошло с возвращением к выборности мэров городов: хотя их отмена ранее была предпринята далеко не везде</w:t>
      </w:r>
      <w:r w:rsidR="00975AF8">
        <w:t xml:space="preserve"> (по состоянию на 2011 год</w:t>
      </w:r>
      <w:r w:rsidR="00A4652F">
        <w:t xml:space="preserve"> прямые выборы сохранялись</w:t>
      </w:r>
      <w:r w:rsidR="007B69B2">
        <w:t xml:space="preserve"> в 107 из 200 крупнейших городов</w:t>
      </w:r>
      <w:r w:rsidR="00A4652F">
        <w:t xml:space="preserve"> РФ)</w:t>
      </w:r>
      <w:r>
        <w:t xml:space="preserve">, очевидно, что уровень внутриэлитной конкуренции в результате этого решения скорее возрастет. Неоднозначным по последствиям может оказаться и выбор </w:t>
      </w:r>
      <w:r w:rsidR="00BB209F">
        <w:t>субъекта Федерации</w:t>
      </w:r>
      <w:r>
        <w:t xml:space="preserve"> в качестве площадки для крупного международного или общефедерального мероприятия. Это увеличивает поток бюджетных денег в регион, но одновременно </w:t>
      </w:r>
      <w:r w:rsidR="00BB209F">
        <w:t xml:space="preserve">создает новые возможности для замены губернатора после (Ярославский форум, саммит ШОС в Екатеринбурге) или даже до мероприятия (саммит АТЭС во Владивостоке). </w:t>
      </w:r>
      <w:r w:rsidR="001C1141">
        <w:t>Например, о</w:t>
      </w:r>
      <w:r w:rsidR="00BB209F">
        <w:t xml:space="preserve">слабление позиций губернатора Краснодарского края Александра Ткачева по мере приближения Олимпийских игр </w:t>
      </w:r>
      <w:r w:rsidR="001C1141">
        <w:t xml:space="preserve">может </w:t>
      </w:r>
      <w:r w:rsidR="00BB209F">
        <w:t>стать тревожным сигналом для тех руководителей, кто пролоббировал включение своих территорий в число площадок для Чемпионата мира по футболу-2018. Весьма неоднозначные по своим последствием результаты дала и активность федеральной власти по пр</w:t>
      </w:r>
      <w:r w:rsidR="00797E8E">
        <w:t>одавливанию упразднения названия</w:t>
      </w:r>
      <w:r w:rsidR="00BB209F">
        <w:t xml:space="preserve"> должности «президент» в национальных республиках: не принеся ощутимого имиджевого эффекта, она в то же время дала повод общественному мнению субъектов говорить о дальнейшем увеличении унитарной с</w:t>
      </w:r>
      <w:r w:rsidR="000E6A70">
        <w:t>оставляющей в политике «Москвы».</w:t>
      </w:r>
    </w:p>
    <w:p w:rsidR="00512D9A" w:rsidRDefault="00512D9A" w:rsidP="00BB209F"/>
    <w:p w:rsidR="00910499" w:rsidRDefault="00C645AA" w:rsidP="00BB209F">
      <w:r>
        <w:t>6. Б</w:t>
      </w:r>
      <w:r w:rsidR="000E6A70">
        <w:t>юджетная политика федерального Ц</w:t>
      </w:r>
      <w:r>
        <w:t xml:space="preserve">ентра, </w:t>
      </w:r>
      <w:r w:rsidR="001C1141">
        <w:t>предполагающая передачу</w:t>
      </w:r>
      <w:r>
        <w:t xml:space="preserve"> на региональный уровень новых полномочий, не подкрепленных финансами. В частности, это произошло с передачей военных городков от Минобо</w:t>
      </w:r>
      <w:r w:rsidR="000E6A70">
        <w:t>роны к регионам, спровоцировавше</w:t>
      </w:r>
      <w:r>
        <w:t xml:space="preserve">й напряжение между </w:t>
      </w:r>
      <w:r w:rsidR="00797E8E">
        <w:t>главами регионов и м</w:t>
      </w:r>
      <w:r w:rsidR="00512D9A">
        <w:t>инистерством, в частности, в Московской области</w:t>
      </w:r>
      <w:r w:rsidR="000E6A70">
        <w:t>.</w:t>
      </w:r>
      <w:r w:rsidR="00910499">
        <w:t xml:space="preserve"> На возможность использования бюджетных рычагов в качестве репрессивного инструмента указал и министр финансов РФ Антон </w:t>
      </w:r>
      <w:proofErr w:type="spellStart"/>
      <w:r w:rsidR="00910499">
        <w:t>Силуанов</w:t>
      </w:r>
      <w:proofErr w:type="spellEnd"/>
      <w:r w:rsidR="00910499">
        <w:t>, по словам которого, необходимо ставить вопрос о доверии губернатору в случае, если регион допускает увеличение кредиторской задолженности.</w:t>
      </w:r>
    </w:p>
    <w:p w:rsidR="00910499" w:rsidRDefault="00910499" w:rsidP="00BB209F"/>
    <w:p w:rsidR="00512D9A" w:rsidRDefault="00512D9A" w:rsidP="00BB209F">
      <w:r>
        <w:t xml:space="preserve">7. </w:t>
      </w:r>
      <w:r w:rsidR="001C1141">
        <w:t>Возможное у</w:t>
      </w:r>
      <w:r>
        <w:t>худшение экономической конъюнктуры и связанное с этим снижение налоговых поступлений в региональные бюджеты от предприятий, традиционно являющихся донорами бюджета (</w:t>
      </w:r>
      <w:r w:rsidR="000E6A70">
        <w:t>особенно заметно в металлургии) могу</w:t>
      </w:r>
      <w:r>
        <w:t>т снизить популярность глав регионов и увеличить мотивацию федералов на использование губерна</w:t>
      </w:r>
      <w:r w:rsidR="000E6A70">
        <w:t>торов в качестве «стрелочников».</w:t>
      </w:r>
    </w:p>
    <w:p w:rsidR="00512D9A" w:rsidRDefault="00512D9A" w:rsidP="00BB209F"/>
    <w:p w:rsidR="00B5346D" w:rsidRDefault="00512D9A" w:rsidP="00BB209F">
      <w:r>
        <w:t xml:space="preserve">8. </w:t>
      </w:r>
      <w:r w:rsidR="001C1141">
        <w:t>П</w:t>
      </w:r>
      <w:r>
        <w:t xml:space="preserve">роцесс последних назначений продемонстрировал </w:t>
      </w:r>
      <w:r w:rsidR="001C1141">
        <w:t>заметный</w:t>
      </w:r>
      <w:r>
        <w:t xml:space="preserve"> рост интереса федеральных бизнес-групп и номенклатурных кланов к продвиже</w:t>
      </w:r>
      <w:r w:rsidR="001C1141">
        <w:t>нию в регионах своих назначенц</w:t>
      </w:r>
      <w:r w:rsidR="000E6A70">
        <w:t>ев</w:t>
      </w:r>
      <w:r w:rsidR="001C1141">
        <w:rPr>
          <w:rStyle w:val="ab"/>
        </w:rPr>
        <w:footnoteReference w:id="2"/>
      </w:r>
      <w:r w:rsidR="001C1141">
        <w:t xml:space="preserve">. В условиях возможного обострения </w:t>
      </w:r>
      <w:proofErr w:type="spellStart"/>
      <w:r w:rsidR="001C1141">
        <w:t>внутриэлитной</w:t>
      </w:r>
      <w:proofErr w:type="spellEnd"/>
      <w:r w:rsidR="001C1141">
        <w:t xml:space="preserve"> конкуренции на федеральном уровне и сохранения «</w:t>
      </w:r>
      <w:r w:rsidR="00B52074">
        <w:t>клановой</w:t>
      </w:r>
      <w:r w:rsidR="001C1141">
        <w:t>»</w:t>
      </w:r>
      <w:r w:rsidR="00B52074">
        <w:t xml:space="preserve"> конкуренции за доступ к ресурсам борьба бизнес-групп за губернаторские посты </w:t>
      </w:r>
      <w:r w:rsidR="001C1141">
        <w:t>может возрасти.</w:t>
      </w:r>
      <w:r w:rsidR="00913833">
        <w:t xml:space="preserve"> </w:t>
      </w:r>
      <w:r w:rsidR="001C1141">
        <w:t xml:space="preserve">Именно </w:t>
      </w:r>
      <w:r w:rsidR="00913833">
        <w:t xml:space="preserve">эта активность может стать </w:t>
      </w:r>
      <w:r w:rsidR="001C1141">
        <w:t>одним из катализаторов</w:t>
      </w:r>
      <w:r w:rsidR="00913833">
        <w:t xml:space="preserve"> досрочных отставок ряда глав регионов.</w:t>
      </w:r>
    </w:p>
    <w:p w:rsidR="00BB209F" w:rsidRPr="00512D9A" w:rsidRDefault="00BB209F" w:rsidP="00BB209F"/>
    <w:p w:rsidR="001C1141" w:rsidRDefault="001C1141" w:rsidP="00E21751">
      <w:r>
        <w:t xml:space="preserve">9. </w:t>
      </w:r>
      <w:r w:rsidR="00E21751">
        <w:t xml:space="preserve">Нарастание интенсивности политической и экономической конкуренции в регионах и рост внимания экспертного сообщества к процессам в российских территориях создает запрос на более оперативную экспертизу происходящих процессов. </w:t>
      </w:r>
    </w:p>
    <w:p w:rsidR="001C1141" w:rsidRDefault="00E21751" w:rsidP="00E21751">
      <w:r>
        <w:t>В этой связи Фонд «Петербургская политика» планирует начать с октября 2012 года публикацию Индекса социально-политической устойчивости регионов с первоначальной интенсивностью 2 раза в месяц.</w:t>
      </w:r>
      <w:r w:rsidR="00B5346D">
        <w:t xml:space="preserve"> </w:t>
      </w:r>
    </w:p>
    <w:p w:rsidR="00E21751" w:rsidRDefault="00B5346D" w:rsidP="00E21751">
      <w:r>
        <w:t>Комм</w:t>
      </w:r>
      <w:r w:rsidR="001C1141">
        <w:t>у</w:t>
      </w:r>
      <w:r w:rsidR="006F4D6E">
        <w:t>никационный холдинг «Минченко К</w:t>
      </w:r>
      <w:r>
        <w:t>онсалтинг» в декабре 2012 г. опубликует доклад «Последние назначенцы Кремля: первые результаты работы глав регионов, назначенных в 2012 г.», а в марте 2013 г. «Губернаторы перед выборами», анализирующий итоги деятельности глав регионов, которым в сентябре 2013 г. предстоит принять участие в выборах.</w:t>
      </w:r>
    </w:p>
    <w:p w:rsidR="00DA2973" w:rsidRDefault="00DA2973" w:rsidP="00DA2973"/>
    <w:p w:rsidR="00E21751" w:rsidRPr="00A10E01" w:rsidRDefault="00E21751" w:rsidP="00E21751">
      <w:pPr>
        <w:rPr>
          <w:b/>
          <w:i/>
        </w:rPr>
      </w:pPr>
      <w:r w:rsidRPr="00A10E01">
        <w:rPr>
          <w:b/>
          <w:i/>
        </w:rPr>
        <w:t>Эксперты рейтинга</w:t>
      </w:r>
    </w:p>
    <w:p w:rsidR="00E21751" w:rsidRDefault="00E21751" w:rsidP="00E21751"/>
    <w:p w:rsidR="009770B0" w:rsidRDefault="009770B0" w:rsidP="009770B0">
      <w:proofErr w:type="spellStart"/>
      <w:r>
        <w:t>Бадовский</w:t>
      </w:r>
      <w:proofErr w:type="spellEnd"/>
      <w:r>
        <w:t xml:space="preserve"> Дмитрий, председатель совета директоров Института социально-экономических и политических исследований;</w:t>
      </w:r>
    </w:p>
    <w:p w:rsidR="009770B0" w:rsidRDefault="009770B0" w:rsidP="009770B0">
      <w:r>
        <w:t>Виноградов Михаил, президент Фонда «Петербургская политика»;</w:t>
      </w:r>
    </w:p>
    <w:p w:rsidR="009770B0" w:rsidRPr="0030691E" w:rsidRDefault="009770B0" w:rsidP="009770B0">
      <w:r>
        <w:t xml:space="preserve">Гусев Дмитрий, председатель совета директоров Консалтинговой компании </w:t>
      </w:r>
      <w:proofErr w:type="spellStart"/>
      <w:r>
        <w:rPr>
          <w:lang w:val="en-US"/>
        </w:rPr>
        <w:t>Bakster</w:t>
      </w:r>
      <w:proofErr w:type="spellEnd"/>
      <w:r>
        <w:rPr>
          <w:lang w:val="en-US"/>
        </w:rPr>
        <w:t xml:space="preserve"> Group;</w:t>
      </w:r>
    </w:p>
    <w:p w:rsidR="009770B0" w:rsidRDefault="009770B0" w:rsidP="009770B0">
      <w:r>
        <w:t>Давыдов Леонид, председатель Комиссии Общественной палаты РФ по региональному развитию и федеративным отношениям;</w:t>
      </w:r>
    </w:p>
    <w:p w:rsidR="009770B0" w:rsidRDefault="009770B0" w:rsidP="009770B0">
      <w:proofErr w:type="spellStart"/>
      <w:r>
        <w:t>Даченков</w:t>
      </w:r>
      <w:proofErr w:type="spellEnd"/>
      <w:r>
        <w:t xml:space="preserve"> Игорь, генеральный директор Агентства массовых коммуникаций «Регион Медиа»;</w:t>
      </w:r>
    </w:p>
    <w:p w:rsidR="009770B0" w:rsidRDefault="009770B0" w:rsidP="009770B0">
      <w:r>
        <w:t>Калачев Константин, руководитель Политической экспертной группы;</w:t>
      </w:r>
    </w:p>
    <w:p w:rsidR="009770B0" w:rsidRPr="004118C9" w:rsidRDefault="009770B0" w:rsidP="009770B0">
      <w:pPr>
        <w:rPr>
          <w:rFonts w:cs="Times New Roman"/>
        </w:rPr>
      </w:pPr>
      <w:proofErr w:type="spellStart"/>
      <w:r w:rsidRPr="004118C9">
        <w:rPr>
          <w:rFonts w:cs="Times New Roman"/>
          <w:lang w:val="en-US"/>
        </w:rPr>
        <w:t>Колосова</w:t>
      </w:r>
      <w:proofErr w:type="spellEnd"/>
      <w:r w:rsidRPr="004118C9">
        <w:rPr>
          <w:rFonts w:cs="Times New Roman"/>
          <w:lang w:val="en-US"/>
        </w:rPr>
        <w:t xml:space="preserve"> Светлана, </w:t>
      </w:r>
      <w:proofErr w:type="spellStart"/>
      <w:r w:rsidRPr="004118C9">
        <w:rPr>
          <w:rFonts w:cs="Times New Roman"/>
          <w:lang w:val="en-US"/>
        </w:rPr>
        <w:t>президент</w:t>
      </w:r>
      <w:proofErr w:type="spellEnd"/>
      <w:r w:rsidRPr="004118C9">
        <w:rPr>
          <w:rFonts w:cs="Times New Roman"/>
          <w:lang w:val="en-US"/>
        </w:rPr>
        <w:t xml:space="preserve"> </w:t>
      </w:r>
      <w:proofErr w:type="spellStart"/>
      <w:r w:rsidRPr="004118C9">
        <w:rPr>
          <w:rFonts w:cs="Times New Roman"/>
          <w:lang w:val="en-US"/>
        </w:rPr>
        <w:t>консал</w:t>
      </w:r>
      <w:r>
        <w:rPr>
          <w:rFonts w:cs="Times New Roman"/>
          <w:lang w:val="en-US"/>
        </w:rPr>
        <w:t>тинговой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группы</w:t>
      </w:r>
      <w:proofErr w:type="spellEnd"/>
      <w:r>
        <w:rPr>
          <w:rFonts w:cs="Times New Roman"/>
          <w:lang w:val="en-US"/>
        </w:rPr>
        <w:t xml:space="preserve"> </w:t>
      </w:r>
      <w:r w:rsidRPr="004118C9">
        <w:rPr>
          <w:rFonts w:cs="Times New Roman"/>
        </w:rPr>
        <w:t>«</w:t>
      </w:r>
      <w:proofErr w:type="spellStart"/>
      <w:r>
        <w:rPr>
          <w:rFonts w:cs="Times New Roman"/>
          <w:lang w:val="en-US"/>
        </w:rPr>
        <w:t>Старая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площадь</w:t>
      </w:r>
      <w:proofErr w:type="spellEnd"/>
      <w:r>
        <w:rPr>
          <w:rFonts w:cs="Times New Roman"/>
        </w:rPr>
        <w:t>»</w:t>
      </w:r>
    </w:p>
    <w:p w:rsidR="009770B0" w:rsidRPr="004118C9" w:rsidRDefault="009770B0" w:rsidP="009770B0">
      <w:pPr>
        <w:rPr>
          <w:rFonts w:cs="Times New Roman"/>
        </w:rPr>
      </w:pPr>
      <w:r w:rsidRPr="004118C9">
        <w:rPr>
          <w:rFonts w:cs="Times New Roman"/>
        </w:rPr>
        <w:t>Минченко Евгений, президент коммуникационного холдинга «Минченко Консалтинг»;</w:t>
      </w:r>
    </w:p>
    <w:p w:rsidR="009770B0" w:rsidRPr="004118C9" w:rsidRDefault="009770B0" w:rsidP="009770B0">
      <w:pPr>
        <w:rPr>
          <w:rFonts w:cs="Times New Roman"/>
        </w:rPr>
      </w:pPr>
      <w:r w:rsidRPr="004118C9">
        <w:rPr>
          <w:rFonts w:cs="Times New Roman"/>
        </w:rPr>
        <w:t xml:space="preserve">Панова </w:t>
      </w:r>
      <w:proofErr w:type="spellStart"/>
      <w:r w:rsidRPr="004118C9">
        <w:rPr>
          <w:rFonts w:cs="Times New Roman"/>
        </w:rPr>
        <w:t>Аквана</w:t>
      </w:r>
      <w:proofErr w:type="spellEnd"/>
      <w:r w:rsidRPr="004118C9">
        <w:rPr>
          <w:rFonts w:cs="Times New Roman"/>
        </w:rPr>
        <w:t>, шеф-редактор интернет издания «</w:t>
      </w:r>
      <w:r w:rsidRPr="004118C9">
        <w:rPr>
          <w:rFonts w:cs="Times New Roman"/>
          <w:lang w:val="en-US"/>
        </w:rPr>
        <w:t>Ura.ru</w:t>
      </w:r>
      <w:r w:rsidRPr="004118C9">
        <w:rPr>
          <w:rFonts w:cs="Times New Roman"/>
        </w:rPr>
        <w:t>»;</w:t>
      </w:r>
    </w:p>
    <w:p w:rsidR="009770B0" w:rsidRPr="004118C9" w:rsidRDefault="009770B0" w:rsidP="009770B0">
      <w:pPr>
        <w:rPr>
          <w:rFonts w:cs="Times New Roman"/>
        </w:rPr>
      </w:pPr>
      <w:proofErr w:type="spellStart"/>
      <w:r w:rsidRPr="004118C9">
        <w:rPr>
          <w:rFonts w:cs="Times New Roman"/>
        </w:rPr>
        <w:t>Рошков</w:t>
      </w:r>
      <w:proofErr w:type="spellEnd"/>
      <w:r w:rsidRPr="004118C9">
        <w:rPr>
          <w:rFonts w:cs="Times New Roman"/>
        </w:rPr>
        <w:t xml:space="preserve"> Евгений, управляющий партнер компании «Кесарев консалтинг»;</w:t>
      </w:r>
    </w:p>
    <w:p w:rsidR="009770B0" w:rsidRPr="004118C9" w:rsidRDefault="009770B0" w:rsidP="009770B0">
      <w:pPr>
        <w:rPr>
          <w:rFonts w:cs="Times New Roman"/>
        </w:rPr>
      </w:pPr>
      <w:r w:rsidRPr="004118C9">
        <w:rPr>
          <w:rFonts w:cs="Times New Roman"/>
        </w:rPr>
        <w:lastRenderedPageBreak/>
        <w:t>Семин Илья, вице-президент Общероссийской общественной организации «Деловая Россия»;</w:t>
      </w:r>
    </w:p>
    <w:p w:rsidR="009770B0" w:rsidRPr="004118C9" w:rsidRDefault="009770B0" w:rsidP="009770B0">
      <w:pPr>
        <w:rPr>
          <w:rFonts w:cs="Times New Roman"/>
        </w:rPr>
      </w:pPr>
      <w:proofErr w:type="spellStart"/>
      <w:r w:rsidRPr="004118C9">
        <w:rPr>
          <w:rFonts w:cs="Times New Roman"/>
        </w:rPr>
        <w:t>Тагаева</w:t>
      </w:r>
      <w:proofErr w:type="spellEnd"/>
      <w:r w:rsidRPr="004118C9">
        <w:rPr>
          <w:rFonts w:cs="Times New Roman"/>
        </w:rPr>
        <w:t xml:space="preserve"> </w:t>
      </w:r>
      <w:proofErr w:type="spellStart"/>
      <w:r w:rsidRPr="004118C9">
        <w:rPr>
          <w:rFonts w:cs="Times New Roman"/>
        </w:rPr>
        <w:t>Лола</w:t>
      </w:r>
      <w:proofErr w:type="spellEnd"/>
      <w:r w:rsidRPr="004118C9">
        <w:rPr>
          <w:rFonts w:cs="Times New Roman"/>
        </w:rPr>
        <w:t>, политический корреспондент телеканала «Дождь»;</w:t>
      </w:r>
    </w:p>
    <w:p w:rsidR="009770B0" w:rsidRPr="007B69B2" w:rsidRDefault="009770B0" w:rsidP="009770B0">
      <w:pPr>
        <w:rPr>
          <w:rFonts w:cs="Times New Roman"/>
          <w:lang w:val="en-US"/>
        </w:rPr>
      </w:pPr>
      <w:proofErr w:type="spellStart"/>
      <w:r w:rsidRPr="004118C9">
        <w:rPr>
          <w:rFonts w:cs="Times New Roman"/>
        </w:rPr>
        <w:t>Туровский</w:t>
      </w:r>
      <w:proofErr w:type="spellEnd"/>
      <w:r w:rsidRPr="004118C9">
        <w:rPr>
          <w:rFonts w:cs="Times New Roman"/>
        </w:rPr>
        <w:t xml:space="preserve"> Ростислав, генеральный директор Аген</w:t>
      </w:r>
      <w:r w:rsidR="007B69B2">
        <w:rPr>
          <w:rFonts w:cs="Times New Roman"/>
        </w:rPr>
        <w:t>тства региональных исследований</w:t>
      </w:r>
      <w:r w:rsidR="007B69B2">
        <w:rPr>
          <w:rFonts w:cs="Times New Roman"/>
          <w:lang w:val="en-US"/>
        </w:rPr>
        <w:t>;</w:t>
      </w:r>
    </w:p>
    <w:p w:rsidR="009770B0" w:rsidRPr="007B69B2" w:rsidRDefault="009770B0" w:rsidP="009770B0">
      <w:pPr>
        <w:rPr>
          <w:rFonts w:cs="Times New Roman"/>
        </w:rPr>
      </w:pPr>
      <w:r w:rsidRPr="00D43699">
        <w:rPr>
          <w:rFonts w:cs="Times New Roman"/>
        </w:rPr>
        <w:t>Хайкин Сергей, Директор Института социального маркетинга</w:t>
      </w:r>
      <w:r w:rsidR="007B69B2">
        <w:rPr>
          <w:rFonts w:cs="Times New Roman"/>
        </w:rPr>
        <w:t>.</w:t>
      </w:r>
    </w:p>
    <w:p w:rsidR="009770B0" w:rsidRDefault="006C503D" w:rsidP="009770B0">
      <w:r>
        <w:t xml:space="preserve"> </w:t>
      </w:r>
    </w:p>
    <w:p w:rsidR="00E21751" w:rsidRDefault="00E21751" w:rsidP="00E21751"/>
    <w:p w:rsidR="00A10E01" w:rsidRDefault="00A10E01"/>
    <w:p w:rsidR="00A10E01" w:rsidRPr="00A10E01" w:rsidRDefault="00A10E01">
      <w:pPr>
        <w:rPr>
          <w:b/>
          <w:i/>
        </w:rPr>
      </w:pPr>
      <w:r w:rsidRPr="00A10E01">
        <w:rPr>
          <w:b/>
          <w:i/>
        </w:rPr>
        <w:t>Статистика</w:t>
      </w:r>
      <w:r w:rsidR="001C1141">
        <w:rPr>
          <w:b/>
          <w:i/>
        </w:rPr>
        <w:t xml:space="preserve"> и справочные данные</w:t>
      </w:r>
    </w:p>
    <w:p w:rsidR="00A10E01" w:rsidRDefault="00A10E01"/>
    <w:p w:rsidR="00A10E01" w:rsidRPr="00E21751" w:rsidRDefault="00A10E01" w:rsidP="00E21751">
      <w:pPr>
        <w:jc w:val="center"/>
        <w:rPr>
          <w:b/>
        </w:rPr>
      </w:pPr>
      <w:r w:rsidRPr="00E21751">
        <w:rPr>
          <w:b/>
        </w:rPr>
        <w:t xml:space="preserve">Статистика перестановок в губернаторском корпусе с момента публикации </w:t>
      </w:r>
      <w:r w:rsidRPr="00E21751">
        <w:rPr>
          <w:b/>
          <w:lang w:val="en-US"/>
        </w:rPr>
        <w:t xml:space="preserve">X </w:t>
      </w:r>
      <w:r w:rsidRPr="00E21751">
        <w:rPr>
          <w:b/>
        </w:rPr>
        <w:t xml:space="preserve">Рейтинга </w:t>
      </w:r>
      <w:r w:rsidR="00E21751" w:rsidRPr="00E21751">
        <w:rPr>
          <w:b/>
        </w:rPr>
        <w:t>выживаемости губернаторов</w:t>
      </w:r>
    </w:p>
    <w:p w:rsidR="00A10E01" w:rsidRDefault="00A10E01" w:rsidP="003A4DA3"/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A10E01"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Оценка</w:t>
            </w:r>
          </w:p>
        </w:tc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 xml:space="preserve">Количество оценок </w:t>
            </w:r>
          </w:p>
        </w:tc>
        <w:tc>
          <w:tcPr>
            <w:tcW w:w="3189" w:type="dxa"/>
          </w:tcPr>
          <w:p w:rsidR="00A10E01" w:rsidRDefault="00A10E01" w:rsidP="003A4DA3">
            <w:pPr>
              <w:ind w:firstLine="0"/>
            </w:pPr>
            <w:r>
              <w:t>Количество замен</w:t>
            </w:r>
          </w:p>
        </w:tc>
      </w:tr>
      <w:tr w:rsidR="00A10E01"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1</w:t>
            </w:r>
          </w:p>
        </w:tc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2</w:t>
            </w:r>
          </w:p>
        </w:tc>
        <w:tc>
          <w:tcPr>
            <w:tcW w:w="3189" w:type="dxa"/>
          </w:tcPr>
          <w:p w:rsidR="00A10E01" w:rsidRDefault="00A10E01" w:rsidP="003A4DA3">
            <w:pPr>
              <w:ind w:firstLine="0"/>
            </w:pPr>
            <w:r>
              <w:t xml:space="preserve">2 </w:t>
            </w:r>
          </w:p>
        </w:tc>
      </w:tr>
      <w:tr w:rsidR="00A10E01"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2</w:t>
            </w:r>
          </w:p>
        </w:tc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9</w:t>
            </w:r>
          </w:p>
        </w:tc>
        <w:tc>
          <w:tcPr>
            <w:tcW w:w="3189" w:type="dxa"/>
          </w:tcPr>
          <w:p w:rsidR="00A10E01" w:rsidRDefault="00A10E01" w:rsidP="003A4DA3">
            <w:pPr>
              <w:ind w:firstLine="0"/>
            </w:pPr>
            <w:r>
              <w:t>5</w:t>
            </w:r>
          </w:p>
        </w:tc>
      </w:tr>
      <w:tr w:rsidR="00A10E01"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3</w:t>
            </w:r>
          </w:p>
        </w:tc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22</w:t>
            </w:r>
          </w:p>
        </w:tc>
        <w:tc>
          <w:tcPr>
            <w:tcW w:w="3189" w:type="dxa"/>
          </w:tcPr>
          <w:p w:rsidR="00A10E01" w:rsidRDefault="00A10E01" w:rsidP="003A4DA3">
            <w:pPr>
              <w:ind w:firstLine="0"/>
            </w:pPr>
            <w:r>
              <w:t>5</w:t>
            </w:r>
          </w:p>
        </w:tc>
      </w:tr>
      <w:tr w:rsidR="00A10E01"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4</w:t>
            </w:r>
          </w:p>
        </w:tc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37</w:t>
            </w:r>
          </w:p>
        </w:tc>
        <w:tc>
          <w:tcPr>
            <w:tcW w:w="3189" w:type="dxa"/>
          </w:tcPr>
          <w:p w:rsidR="00A10E01" w:rsidRDefault="00A10E01" w:rsidP="003A4DA3">
            <w:pPr>
              <w:ind w:firstLine="0"/>
            </w:pPr>
            <w:r>
              <w:t>1</w:t>
            </w:r>
          </w:p>
        </w:tc>
      </w:tr>
      <w:tr w:rsidR="00A10E01"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5</w:t>
            </w:r>
          </w:p>
        </w:tc>
        <w:tc>
          <w:tcPr>
            <w:tcW w:w="3188" w:type="dxa"/>
          </w:tcPr>
          <w:p w:rsidR="00A10E01" w:rsidRDefault="00A10E01" w:rsidP="003A4DA3">
            <w:pPr>
              <w:ind w:firstLine="0"/>
            </w:pPr>
            <w:r>
              <w:t>12</w:t>
            </w:r>
          </w:p>
        </w:tc>
        <w:tc>
          <w:tcPr>
            <w:tcW w:w="3189" w:type="dxa"/>
          </w:tcPr>
          <w:p w:rsidR="00A10E01" w:rsidRDefault="00A10E01" w:rsidP="003A4DA3">
            <w:pPr>
              <w:ind w:firstLine="0"/>
            </w:pPr>
            <w:r>
              <w:t>1</w:t>
            </w:r>
          </w:p>
        </w:tc>
      </w:tr>
    </w:tbl>
    <w:p w:rsidR="00A10E01" w:rsidRPr="00A10E01" w:rsidRDefault="00A10E01" w:rsidP="003A4DA3"/>
    <w:p w:rsidR="003A4DA3" w:rsidRDefault="003A4DA3"/>
    <w:p w:rsidR="001C1141" w:rsidRDefault="00A10E01" w:rsidP="001C1141">
      <w:pPr>
        <w:jc w:val="center"/>
        <w:rPr>
          <w:b/>
        </w:rPr>
      </w:pPr>
      <w:r w:rsidRPr="001C1141">
        <w:rPr>
          <w:b/>
        </w:rPr>
        <w:t>Статистика точности оценок</w:t>
      </w:r>
    </w:p>
    <w:p w:rsidR="001C1141" w:rsidRDefault="00A10E01" w:rsidP="001C1141">
      <w:pPr>
        <w:jc w:val="center"/>
        <w:rPr>
          <w:b/>
        </w:rPr>
      </w:pPr>
      <w:r w:rsidRPr="001C1141">
        <w:rPr>
          <w:b/>
        </w:rPr>
        <w:t xml:space="preserve">Рейтинга </w:t>
      </w:r>
      <w:r w:rsidR="001C1141">
        <w:rPr>
          <w:b/>
        </w:rPr>
        <w:t>политической выживаемости губернаторов</w:t>
      </w:r>
    </w:p>
    <w:p w:rsidR="00A10E01" w:rsidRPr="001C1141" w:rsidRDefault="00A10E01" w:rsidP="001C1141">
      <w:pPr>
        <w:jc w:val="center"/>
        <w:rPr>
          <w:b/>
        </w:rPr>
      </w:pPr>
      <w:r w:rsidRPr="001C1141">
        <w:rPr>
          <w:b/>
        </w:rPr>
        <w:t xml:space="preserve">в </w:t>
      </w:r>
      <w:r w:rsidR="001C1141">
        <w:rPr>
          <w:b/>
        </w:rPr>
        <w:t>2007-2012 годах</w:t>
      </w:r>
    </w:p>
    <w:p w:rsidR="00A10E01" w:rsidRDefault="00A10E01" w:rsidP="00A10E01"/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A10E01"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Оценка</w:t>
            </w:r>
          </w:p>
        </w:tc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Заменены</w:t>
            </w:r>
          </w:p>
        </w:tc>
        <w:tc>
          <w:tcPr>
            <w:tcW w:w="3189" w:type="dxa"/>
          </w:tcPr>
          <w:p w:rsidR="00A10E01" w:rsidRDefault="00A10E01" w:rsidP="00A10E01">
            <w:pPr>
              <w:ind w:firstLine="0"/>
            </w:pPr>
            <w:r>
              <w:t>Продлены полномочия</w:t>
            </w:r>
          </w:p>
        </w:tc>
      </w:tr>
      <w:tr w:rsidR="00A10E01"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1</w:t>
            </w:r>
          </w:p>
        </w:tc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9</w:t>
            </w:r>
          </w:p>
        </w:tc>
        <w:tc>
          <w:tcPr>
            <w:tcW w:w="3189" w:type="dxa"/>
          </w:tcPr>
          <w:p w:rsidR="00A10E01" w:rsidRDefault="00A10E01" w:rsidP="00A10E01">
            <w:pPr>
              <w:ind w:firstLine="0"/>
            </w:pPr>
            <w:r>
              <w:t>0</w:t>
            </w:r>
          </w:p>
        </w:tc>
      </w:tr>
      <w:tr w:rsidR="00A10E01"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2</w:t>
            </w:r>
          </w:p>
        </w:tc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20</w:t>
            </w:r>
          </w:p>
        </w:tc>
        <w:tc>
          <w:tcPr>
            <w:tcW w:w="3189" w:type="dxa"/>
          </w:tcPr>
          <w:p w:rsidR="00A10E01" w:rsidRDefault="00A10E01" w:rsidP="00A10E01">
            <w:pPr>
              <w:ind w:firstLine="0"/>
            </w:pPr>
            <w:r>
              <w:t>5</w:t>
            </w:r>
          </w:p>
        </w:tc>
      </w:tr>
      <w:tr w:rsidR="00A10E01"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3</w:t>
            </w:r>
          </w:p>
        </w:tc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26</w:t>
            </w:r>
          </w:p>
        </w:tc>
        <w:tc>
          <w:tcPr>
            <w:tcW w:w="3189" w:type="dxa"/>
          </w:tcPr>
          <w:p w:rsidR="00A10E01" w:rsidRDefault="00A10E01" w:rsidP="00A10E01">
            <w:pPr>
              <w:ind w:firstLine="0"/>
            </w:pPr>
            <w:r>
              <w:t>15</w:t>
            </w:r>
          </w:p>
        </w:tc>
      </w:tr>
      <w:tr w:rsidR="00A10E01"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4</w:t>
            </w:r>
          </w:p>
        </w:tc>
        <w:tc>
          <w:tcPr>
            <w:tcW w:w="3188" w:type="dxa"/>
          </w:tcPr>
          <w:p w:rsidR="00A10E01" w:rsidRPr="007A6066" w:rsidRDefault="00A10E01" w:rsidP="00A10E01">
            <w:pPr>
              <w:ind w:firstLine="0"/>
            </w:pPr>
            <w:r>
              <w:t>8</w:t>
            </w:r>
            <w:r>
              <w:rPr>
                <w:lang w:val="en-US"/>
              </w:rPr>
              <w:t>*</w:t>
            </w:r>
          </w:p>
        </w:tc>
        <w:tc>
          <w:tcPr>
            <w:tcW w:w="3189" w:type="dxa"/>
          </w:tcPr>
          <w:p w:rsidR="00A10E01" w:rsidRDefault="00A10E01" w:rsidP="00A10E01">
            <w:pPr>
              <w:ind w:firstLine="0"/>
            </w:pPr>
            <w:r>
              <w:t>11</w:t>
            </w:r>
          </w:p>
        </w:tc>
      </w:tr>
      <w:tr w:rsidR="00A10E01">
        <w:tc>
          <w:tcPr>
            <w:tcW w:w="3188" w:type="dxa"/>
          </w:tcPr>
          <w:p w:rsidR="00A10E01" w:rsidRPr="00AB2FFF" w:rsidRDefault="00A10E01" w:rsidP="00A10E01">
            <w:pPr>
              <w:ind w:firstLine="0"/>
              <w:rPr>
                <w:lang w:val="en-US"/>
              </w:rPr>
            </w:pPr>
            <w:r>
              <w:t>5</w:t>
            </w:r>
          </w:p>
        </w:tc>
        <w:tc>
          <w:tcPr>
            <w:tcW w:w="3188" w:type="dxa"/>
          </w:tcPr>
          <w:p w:rsidR="00A10E01" w:rsidRDefault="00A10E01" w:rsidP="00A10E01">
            <w:pPr>
              <w:ind w:firstLine="0"/>
            </w:pPr>
            <w:r>
              <w:t>1*</w:t>
            </w:r>
          </w:p>
        </w:tc>
        <w:tc>
          <w:tcPr>
            <w:tcW w:w="3189" w:type="dxa"/>
          </w:tcPr>
          <w:p w:rsidR="00A10E01" w:rsidRDefault="00A10E01" w:rsidP="00A10E01">
            <w:pPr>
              <w:ind w:firstLine="0"/>
            </w:pPr>
            <w:r>
              <w:t>3</w:t>
            </w:r>
          </w:p>
        </w:tc>
      </w:tr>
    </w:tbl>
    <w:p w:rsidR="00A10E01" w:rsidRDefault="00A10E01" w:rsidP="00A10E01"/>
    <w:p w:rsidR="00A10E01" w:rsidRDefault="00A10E01" w:rsidP="00A10E01"/>
    <w:p w:rsidR="00A10E01" w:rsidRDefault="00A10E01" w:rsidP="00A10E01">
      <w:r>
        <w:t xml:space="preserve">* В числе покинувших свои посты губернаторов с оценкой «4» - перешедшие на </w:t>
      </w:r>
      <w:r w:rsidR="00695267">
        <w:t>должности полпредов</w:t>
      </w:r>
      <w:r>
        <w:t xml:space="preserve"> Александр Хлопонин и Виктор Толоконский, а </w:t>
      </w:r>
      <w:r w:rsidR="00B5346D">
        <w:t xml:space="preserve">также </w:t>
      </w:r>
      <w:r>
        <w:t xml:space="preserve">добровольно </w:t>
      </w:r>
      <w:r w:rsidR="00AE1FEF">
        <w:t>оставивший</w:t>
      </w:r>
      <w:r>
        <w:t xml:space="preserve"> пост губернатора Роман Абрамович. Оценка «5» была у главы Мордовии Николая Меркушкина, переведенного на пост губернатора Самарской области.</w:t>
      </w:r>
    </w:p>
    <w:p w:rsidR="00A10E01" w:rsidRDefault="00A10E01" w:rsidP="00A10E01"/>
    <w:p w:rsidR="00E21751" w:rsidRPr="00E21751" w:rsidRDefault="00E21751" w:rsidP="00E21751">
      <w:pPr>
        <w:jc w:val="center"/>
        <w:rPr>
          <w:b/>
        </w:rPr>
      </w:pPr>
      <w:r w:rsidRPr="00E21751">
        <w:rPr>
          <w:b/>
        </w:rPr>
        <w:t>Назначения губернаторов, прошедшие с момента обнародования инициативы о возвращении губернаторских выборов</w:t>
      </w:r>
    </w:p>
    <w:p w:rsidR="00E21751" w:rsidRDefault="00E21751" w:rsidP="00E21751"/>
    <w:p w:rsidR="00E21751" w:rsidRDefault="00E21751" w:rsidP="00E21751"/>
    <w:tbl>
      <w:tblPr>
        <w:tblStyle w:val="a3"/>
        <w:tblW w:w="0" w:type="auto"/>
        <w:tblLook w:val="04A0"/>
      </w:tblPr>
      <w:tblGrid>
        <w:gridCol w:w="4782"/>
        <w:gridCol w:w="4783"/>
      </w:tblGrid>
      <w:tr w:rsidR="00E21751">
        <w:tc>
          <w:tcPr>
            <w:tcW w:w="4782" w:type="dxa"/>
          </w:tcPr>
          <w:p w:rsidR="00E21751" w:rsidRDefault="00E21751" w:rsidP="00267272">
            <w:pPr>
              <w:ind w:firstLine="0"/>
            </w:pPr>
            <w:r>
              <w:t>Год</w:t>
            </w:r>
          </w:p>
        </w:tc>
        <w:tc>
          <w:tcPr>
            <w:tcW w:w="4783" w:type="dxa"/>
          </w:tcPr>
          <w:p w:rsidR="00E21751" w:rsidRDefault="00E21751" w:rsidP="00267272">
            <w:pPr>
              <w:ind w:firstLine="0"/>
            </w:pPr>
            <w:r>
              <w:t>«Отмененные» губернаторские выборы (из-за назначений в декабре 2011 – мае 2012 гг.)</w:t>
            </w:r>
          </w:p>
        </w:tc>
      </w:tr>
      <w:tr w:rsidR="00E21751">
        <w:tc>
          <w:tcPr>
            <w:tcW w:w="4782" w:type="dxa"/>
          </w:tcPr>
          <w:p w:rsidR="00E21751" w:rsidRDefault="00E21751" w:rsidP="00267272">
            <w:pPr>
              <w:ind w:firstLine="0"/>
            </w:pPr>
            <w:r>
              <w:t>2012 (13)</w:t>
            </w:r>
          </w:p>
        </w:tc>
        <w:tc>
          <w:tcPr>
            <w:tcW w:w="4783" w:type="dxa"/>
          </w:tcPr>
          <w:p w:rsidR="00E21751" w:rsidRDefault="00E21751" w:rsidP="00267272">
            <w:pPr>
              <w:ind w:firstLine="0"/>
            </w:pPr>
            <w:r>
              <w:t>Бурятия, Тыва, Краснодарский край, Архангельская, Вологодская, Костромская, Ленинградская, Московская, Омская, Самарская, Смоленская, Томская, Ярославская области</w:t>
            </w:r>
          </w:p>
        </w:tc>
      </w:tr>
      <w:tr w:rsidR="00E21751">
        <w:tc>
          <w:tcPr>
            <w:tcW w:w="4782" w:type="dxa"/>
          </w:tcPr>
          <w:p w:rsidR="00E21751" w:rsidRDefault="00E21751" w:rsidP="00267272">
            <w:pPr>
              <w:ind w:firstLine="0"/>
            </w:pPr>
            <w:r>
              <w:t>2013 (2)</w:t>
            </w:r>
          </w:p>
        </w:tc>
        <w:tc>
          <w:tcPr>
            <w:tcW w:w="4783" w:type="dxa"/>
          </w:tcPr>
          <w:p w:rsidR="00E21751" w:rsidRDefault="00E21751" w:rsidP="00267272">
            <w:pPr>
              <w:ind w:firstLine="0"/>
            </w:pPr>
            <w:r>
              <w:t>Ставропольский край, Свердловская область</w:t>
            </w:r>
          </w:p>
        </w:tc>
      </w:tr>
      <w:tr w:rsidR="00E21751">
        <w:tc>
          <w:tcPr>
            <w:tcW w:w="4782" w:type="dxa"/>
          </w:tcPr>
          <w:p w:rsidR="00E21751" w:rsidRDefault="00E21751" w:rsidP="00267272">
            <w:pPr>
              <w:ind w:firstLine="0"/>
            </w:pPr>
            <w:r>
              <w:lastRenderedPageBreak/>
              <w:t>2014 (2)</w:t>
            </w:r>
          </w:p>
        </w:tc>
        <w:tc>
          <w:tcPr>
            <w:tcW w:w="4783" w:type="dxa"/>
          </w:tcPr>
          <w:p w:rsidR="00E21751" w:rsidRDefault="00E21751" w:rsidP="00267272">
            <w:pPr>
              <w:ind w:firstLine="0"/>
            </w:pPr>
            <w:r>
              <w:t>Иркутская область, Мурманская область</w:t>
            </w:r>
          </w:p>
        </w:tc>
      </w:tr>
      <w:tr w:rsidR="00E21751">
        <w:tc>
          <w:tcPr>
            <w:tcW w:w="4782" w:type="dxa"/>
          </w:tcPr>
          <w:p w:rsidR="00E21751" w:rsidRDefault="00E21751" w:rsidP="00267272">
            <w:pPr>
              <w:ind w:firstLine="0"/>
            </w:pPr>
            <w:r>
              <w:t>2015 (6)</w:t>
            </w:r>
          </w:p>
        </w:tc>
        <w:tc>
          <w:tcPr>
            <w:tcW w:w="4783" w:type="dxa"/>
          </w:tcPr>
          <w:p w:rsidR="00E21751" w:rsidRDefault="00E21751" w:rsidP="00267272">
            <w:pPr>
              <w:ind w:firstLine="0"/>
            </w:pPr>
            <w:r>
              <w:t>Карелия, Мордовия, Пермский, Приморский края, Волгоградская, Саратовская области</w:t>
            </w:r>
          </w:p>
        </w:tc>
      </w:tr>
    </w:tbl>
    <w:p w:rsidR="00E21751" w:rsidRDefault="00E21751" w:rsidP="00E21751"/>
    <w:p w:rsidR="00E21751" w:rsidRDefault="00E21751" w:rsidP="00E21751">
      <w:pPr>
        <w:jc w:val="center"/>
        <w:rPr>
          <w:b/>
        </w:rPr>
      </w:pPr>
      <w:r w:rsidRPr="00E21751">
        <w:rPr>
          <w:b/>
        </w:rPr>
        <w:t xml:space="preserve">Регионы, </w:t>
      </w:r>
      <w:r w:rsidR="0085087B" w:rsidRPr="00E21751">
        <w:rPr>
          <w:b/>
        </w:rPr>
        <w:t xml:space="preserve">в которых полномочия губернаторов истекают </w:t>
      </w:r>
    </w:p>
    <w:p w:rsidR="0085087B" w:rsidRPr="00E21751" w:rsidRDefault="0085087B" w:rsidP="00E21751">
      <w:pPr>
        <w:jc w:val="center"/>
        <w:rPr>
          <w:b/>
        </w:rPr>
      </w:pPr>
      <w:r w:rsidRPr="00E21751">
        <w:rPr>
          <w:b/>
        </w:rPr>
        <w:t xml:space="preserve">к моменту </w:t>
      </w:r>
      <w:r w:rsidR="00C63537" w:rsidRPr="00E21751">
        <w:rPr>
          <w:b/>
        </w:rPr>
        <w:t>единого дня голосования в сентябре 2013 года</w:t>
      </w:r>
    </w:p>
    <w:p w:rsidR="0085087B" w:rsidRDefault="0085087B" w:rsidP="00A10E01"/>
    <w:tbl>
      <w:tblPr>
        <w:tblStyle w:val="a3"/>
        <w:tblW w:w="0" w:type="auto"/>
        <w:tblLook w:val="04A0"/>
      </w:tblPr>
      <w:tblGrid>
        <w:gridCol w:w="4782"/>
        <w:gridCol w:w="4783"/>
      </w:tblGrid>
      <w:tr w:rsidR="006522F9">
        <w:tc>
          <w:tcPr>
            <w:tcW w:w="4782" w:type="dxa"/>
          </w:tcPr>
          <w:p w:rsidR="006522F9" w:rsidRDefault="00C63537" w:rsidP="00A10E01">
            <w:pPr>
              <w:ind w:firstLine="0"/>
            </w:pPr>
            <w:r>
              <w:t>Срок окончания полномочий</w:t>
            </w:r>
          </w:p>
        </w:tc>
        <w:tc>
          <w:tcPr>
            <w:tcW w:w="4783" w:type="dxa"/>
          </w:tcPr>
          <w:p w:rsidR="006522F9" w:rsidRDefault="00C63537" w:rsidP="00A10E01">
            <w:pPr>
              <w:ind w:firstLine="0"/>
            </w:pPr>
            <w:r>
              <w:t>Регион</w:t>
            </w:r>
          </w:p>
        </w:tc>
      </w:tr>
      <w:tr w:rsidR="0085087B">
        <w:tc>
          <w:tcPr>
            <w:tcW w:w="4782" w:type="dxa"/>
          </w:tcPr>
          <w:p w:rsidR="0085087B" w:rsidRDefault="0085087B" w:rsidP="00A10E01">
            <w:pPr>
              <w:ind w:firstLine="0"/>
            </w:pPr>
            <w:r>
              <w:t>04.02.2013</w:t>
            </w:r>
          </w:p>
        </w:tc>
        <w:tc>
          <w:tcPr>
            <w:tcW w:w="4783" w:type="dxa"/>
          </w:tcPr>
          <w:p w:rsidR="0085087B" w:rsidRDefault="0085087B" w:rsidP="00A10E01">
            <w:pPr>
              <w:ind w:firstLine="0"/>
            </w:pPr>
            <w:r>
              <w:t>Магаданская область</w:t>
            </w:r>
          </w:p>
        </w:tc>
      </w:tr>
      <w:tr w:rsidR="0085087B">
        <w:tc>
          <w:tcPr>
            <w:tcW w:w="4782" w:type="dxa"/>
          </w:tcPr>
          <w:p w:rsidR="0085087B" w:rsidRDefault="0085087B" w:rsidP="00A10E01">
            <w:pPr>
              <w:ind w:firstLine="0"/>
            </w:pPr>
            <w:r>
              <w:t>01.03.2013</w:t>
            </w:r>
          </w:p>
        </w:tc>
        <w:tc>
          <w:tcPr>
            <w:tcW w:w="4783" w:type="dxa"/>
          </w:tcPr>
          <w:p w:rsidR="0085087B" w:rsidRDefault="0085087B" w:rsidP="00A10E01">
            <w:pPr>
              <w:ind w:firstLine="0"/>
            </w:pPr>
            <w:r>
              <w:t>Забайкальский край</w:t>
            </w:r>
          </w:p>
        </w:tc>
      </w:tr>
      <w:tr w:rsidR="0085087B">
        <w:tc>
          <w:tcPr>
            <w:tcW w:w="4782" w:type="dxa"/>
          </w:tcPr>
          <w:p w:rsidR="0085087B" w:rsidRDefault="0085087B" w:rsidP="00A10E01">
            <w:pPr>
              <w:ind w:firstLine="0"/>
            </w:pPr>
            <w:r>
              <w:t>25.03.2013</w:t>
            </w:r>
          </w:p>
        </w:tc>
        <w:tc>
          <w:tcPr>
            <w:tcW w:w="4783" w:type="dxa"/>
          </w:tcPr>
          <w:p w:rsidR="0085087B" w:rsidRDefault="0085087B" w:rsidP="00A10E01">
            <w:pPr>
              <w:ind w:firstLine="0"/>
            </w:pPr>
            <w:r>
              <w:t>Владимирская область</w:t>
            </w:r>
          </w:p>
        </w:tc>
      </w:tr>
      <w:tr w:rsidR="0085087B">
        <w:tc>
          <w:tcPr>
            <w:tcW w:w="4782" w:type="dxa"/>
          </w:tcPr>
          <w:p w:rsidR="0085087B" w:rsidRDefault="0085087B" w:rsidP="00A10E01">
            <w:pPr>
              <w:ind w:firstLine="0"/>
            </w:pPr>
            <w:r>
              <w:t>11.07.2013</w:t>
            </w:r>
          </w:p>
        </w:tc>
        <w:tc>
          <w:tcPr>
            <w:tcW w:w="4783" w:type="dxa"/>
          </w:tcPr>
          <w:p w:rsidR="0085087B" w:rsidRDefault="0085087B" w:rsidP="00A10E01">
            <w:pPr>
              <w:ind w:firstLine="0"/>
            </w:pPr>
            <w:r>
              <w:t>Хабаровский край</w:t>
            </w:r>
          </w:p>
        </w:tc>
      </w:tr>
      <w:tr w:rsidR="0085087B">
        <w:tc>
          <w:tcPr>
            <w:tcW w:w="4782" w:type="dxa"/>
          </w:tcPr>
          <w:p w:rsidR="0085087B" w:rsidRDefault="0085087B" w:rsidP="00A10E01">
            <w:pPr>
              <w:ind w:firstLine="0"/>
            </w:pPr>
            <w:r>
              <w:t>24.07.2013</w:t>
            </w:r>
          </w:p>
        </w:tc>
        <w:tc>
          <w:tcPr>
            <w:tcW w:w="4783" w:type="dxa"/>
          </w:tcPr>
          <w:p w:rsidR="0085087B" w:rsidRDefault="0085087B" w:rsidP="00A10E01">
            <w:pPr>
              <w:ind w:firstLine="0"/>
            </w:pPr>
            <w:r>
              <w:t>Чукотский автономный округ</w:t>
            </w:r>
          </w:p>
        </w:tc>
      </w:tr>
    </w:tbl>
    <w:p w:rsidR="006522F9" w:rsidRDefault="006522F9" w:rsidP="00A10E01"/>
    <w:p w:rsidR="00E21751" w:rsidRDefault="00C63537" w:rsidP="00E21751">
      <w:pPr>
        <w:jc w:val="center"/>
        <w:rPr>
          <w:b/>
        </w:rPr>
      </w:pPr>
      <w:r w:rsidRPr="00E21751">
        <w:rPr>
          <w:b/>
        </w:rPr>
        <w:t xml:space="preserve">Регионы, в которых </w:t>
      </w:r>
      <w:r w:rsidR="00E21751">
        <w:rPr>
          <w:b/>
        </w:rPr>
        <w:t>имеется</w:t>
      </w:r>
      <w:r w:rsidRPr="00E21751">
        <w:rPr>
          <w:b/>
        </w:rPr>
        <w:t xml:space="preserve"> вероятность </w:t>
      </w:r>
    </w:p>
    <w:p w:rsidR="00E21751" w:rsidRDefault="00C63537" w:rsidP="00E21751">
      <w:pPr>
        <w:jc w:val="center"/>
        <w:rPr>
          <w:b/>
        </w:rPr>
      </w:pPr>
      <w:r w:rsidRPr="00E21751">
        <w:rPr>
          <w:b/>
        </w:rPr>
        <w:t xml:space="preserve">проведения досрочных губернаторских выборов в 2013 году </w:t>
      </w:r>
    </w:p>
    <w:p w:rsidR="00C63537" w:rsidRPr="00E21751" w:rsidRDefault="00C63537" w:rsidP="00E21751">
      <w:pPr>
        <w:jc w:val="center"/>
        <w:rPr>
          <w:b/>
        </w:rPr>
      </w:pPr>
      <w:r w:rsidRPr="00E21751">
        <w:rPr>
          <w:b/>
        </w:rPr>
        <w:t>в связи с истечением срока полномочий глав до сентября 2014 года</w:t>
      </w:r>
    </w:p>
    <w:p w:rsidR="006522F9" w:rsidRDefault="006522F9" w:rsidP="00A10E01"/>
    <w:p w:rsidR="0085087B" w:rsidRDefault="0085087B" w:rsidP="00A10E01"/>
    <w:tbl>
      <w:tblPr>
        <w:tblStyle w:val="a3"/>
        <w:tblW w:w="0" w:type="auto"/>
        <w:tblLook w:val="04A0"/>
      </w:tblPr>
      <w:tblGrid>
        <w:gridCol w:w="4782"/>
        <w:gridCol w:w="4783"/>
      </w:tblGrid>
      <w:tr w:rsidR="00E21751">
        <w:tc>
          <w:tcPr>
            <w:tcW w:w="4782" w:type="dxa"/>
          </w:tcPr>
          <w:p w:rsidR="00E21751" w:rsidRPr="00E21751" w:rsidRDefault="00E21751" w:rsidP="0085087B">
            <w:pPr>
              <w:ind w:firstLine="0"/>
              <w:rPr>
                <w:b/>
              </w:rPr>
            </w:pPr>
            <w:r w:rsidRPr="00E21751">
              <w:rPr>
                <w:b/>
              </w:rPr>
              <w:t>Срок окончания полномочий</w:t>
            </w:r>
          </w:p>
        </w:tc>
        <w:tc>
          <w:tcPr>
            <w:tcW w:w="4783" w:type="dxa"/>
          </w:tcPr>
          <w:p w:rsidR="00E21751" w:rsidRPr="00E21751" w:rsidRDefault="00E21751" w:rsidP="0085087B">
            <w:pPr>
              <w:ind w:firstLine="0"/>
              <w:rPr>
                <w:b/>
              </w:rPr>
            </w:pPr>
            <w:r w:rsidRPr="00E21751">
              <w:rPr>
                <w:b/>
              </w:rPr>
              <w:t>Регион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31.10.2013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Ингушетия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15.01.2014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Коми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15.01.2014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Хакасия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15.01.2014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Кировская область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20.01.2014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Республика Алтай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20.02.2014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Дагестан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20.02.2014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Удмуртия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24.02.2014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Ненецкий автономный округ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27.02.2014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Орловская область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27.02.2014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Псковская область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12.03.2014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Воронежская область</w:t>
            </w:r>
          </w:p>
        </w:tc>
      </w:tr>
      <w:tr w:rsidR="0085087B">
        <w:tc>
          <w:tcPr>
            <w:tcW w:w="4782" w:type="dxa"/>
          </w:tcPr>
          <w:p w:rsidR="0085087B" w:rsidRDefault="0085087B" w:rsidP="0085087B">
            <w:pPr>
              <w:ind w:firstLine="0"/>
            </w:pPr>
            <w:r>
              <w:t>25.08.2014</w:t>
            </w:r>
          </w:p>
        </w:tc>
        <w:tc>
          <w:tcPr>
            <w:tcW w:w="4783" w:type="dxa"/>
          </w:tcPr>
          <w:p w:rsidR="0085087B" w:rsidRDefault="0085087B" w:rsidP="0085087B">
            <w:pPr>
              <w:ind w:firstLine="0"/>
            </w:pPr>
            <w:r>
              <w:t>Алтайский край</w:t>
            </w:r>
          </w:p>
        </w:tc>
      </w:tr>
    </w:tbl>
    <w:p w:rsidR="0085087B" w:rsidRDefault="0085087B" w:rsidP="00A10E01"/>
    <w:p w:rsidR="006522F9" w:rsidRDefault="006522F9" w:rsidP="00A10E01"/>
    <w:p w:rsidR="00A10E01" w:rsidRDefault="00A10E01"/>
    <w:p w:rsidR="00A10E01" w:rsidRDefault="00A10E01"/>
    <w:p w:rsidR="00567E64" w:rsidRDefault="00567E64"/>
    <w:p w:rsidR="009911F1" w:rsidRDefault="009911F1"/>
    <w:sectPr w:rsidR="009911F1" w:rsidSect="00E2175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74" w:rsidRDefault="00B52074" w:rsidP="00E21751">
      <w:r>
        <w:separator/>
      </w:r>
    </w:p>
  </w:endnote>
  <w:endnote w:type="continuationSeparator" w:id="0">
    <w:p w:rsidR="00B52074" w:rsidRDefault="00B52074" w:rsidP="00E2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74" w:rsidRDefault="00A277C7" w:rsidP="002672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20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2074" w:rsidRDefault="00B520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74" w:rsidRDefault="00A277C7" w:rsidP="002672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20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699">
      <w:rPr>
        <w:rStyle w:val="a7"/>
        <w:noProof/>
      </w:rPr>
      <w:t>6</w:t>
    </w:r>
    <w:r>
      <w:rPr>
        <w:rStyle w:val="a7"/>
      </w:rPr>
      <w:fldChar w:fldCharType="end"/>
    </w:r>
  </w:p>
  <w:p w:rsidR="00B52074" w:rsidRDefault="00B520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74" w:rsidRDefault="00B52074" w:rsidP="00E21751">
      <w:r>
        <w:separator/>
      </w:r>
    </w:p>
  </w:footnote>
  <w:footnote w:type="continuationSeparator" w:id="0">
    <w:p w:rsidR="00B52074" w:rsidRDefault="00B52074" w:rsidP="00E21751">
      <w:r>
        <w:continuationSeparator/>
      </w:r>
    </w:p>
  </w:footnote>
  <w:footnote w:id="1">
    <w:p w:rsidR="00795542" w:rsidRDefault="00795542">
      <w:pPr>
        <w:pStyle w:val="a9"/>
      </w:pPr>
      <w:r>
        <w:rPr>
          <w:rStyle w:val="ab"/>
        </w:rPr>
        <w:footnoteRef/>
      </w:r>
      <w:r>
        <w:t xml:space="preserve"> Закон предусматривает также возможность отзыва главы региона по инициативе граждан. Установленная схема выглядит </w:t>
      </w:r>
      <w:r w:rsidR="000803A3">
        <w:t xml:space="preserve">практически </w:t>
      </w:r>
      <w:r>
        <w:t>нереализуемой (для проведения референдума требуется подписи 25% избирателей, а за отзыв губернатора необходимо голосование 50% проживающих на территории региона избирателей). Тем не менее, тема угрозы сбора подписей и инициирования референдума, возможно, будет иногда использоваться в конкурентной борьбе.</w:t>
      </w:r>
    </w:p>
  </w:footnote>
  <w:footnote w:id="2">
    <w:p w:rsidR="001C1141" w:rsidRPr="00DB1ECC" w:rsidRDefault="001C1141">
      <w:pPr>
        <w:pStyle w:val="a9"/>
        <w:rPr>
          <w:sz w:val="22"/>
          <w:szCs w:val="22"/>
        </w:rPr>
      </w:pPr>
      <w:r w:rsidRPr="00DB1ECC">
        <w:rPr>
          <w:rStyle w:val="ab"/>
          <w:sz w:val="22"/>
          <w:szCs w:val="22"/>
        </w:rPr>
        <w:footnoteRef/>
      </w:r>
      <w:r w:rsidRPr="00DB1ECC">
        <w:rPr>
          <w:sz w:val="22"/>
          <w:szCs w:val="22"/>
        </w:rPr>
        <w:t xml:space="preserve"> Таблица, демонстрирующая это влияние, была приведена в </w:t>
      </w:r>
      <w:hyperlink r:id="rId1" w:history="1">
        <w:r w:rsidRPr="00DB1ECC">
          <w:rPr>
            <w:rStyle w:val="a8"/>
            <w:sz w:val="22"/>
            <w:szCs w:val="22"/>
          </w:rPr>
          <w:t>презентации</w:t>
        </w:r>
      </w:hyperlink>
      <w:r w:rsidRPr="00DB1ECC">
        <w:rPr>
          <w:sz w:val="22"/>
          <w:szCs w:val="22"/>
        </w:rPr>
        <w:t xml:space="preserve"> к докладу коммуникационного холдинга «</w:t>
      </w:r>
      <w:r w:rsidRPr="00DB1ECC">
        <w:rPr>
          <w:sz w:val="22"/>
          <w:szCs w:val="22"/>
          <w:lang w:val="en-US"/>
        </w:rPr>
        <w:t>Minchenko consulting</w:t>
      </w:r>
      <w:r w:rsidRPr="00DB1ECC">
        <w:rPr>
          <w:sz w:val="22"/>
          <w:szCs w:val="22"/>
        </w:rPr>
        <w:t>»</w:t>
      </w:r>
      <w:r w:rsidR="000803A3">
        <w:rPr>
          <w:sz w:val="22"/>
          <w:szCs w:val="22"/>
        </w:rPr>
        <w:t xml:space="preserve"> (август 2012 года)</w:t>
      </w:r>
      <w:r w:rsidRPr="00DB1ECC">
        <w:rPr>
          <w:sz w:val="22"/>
          <w:szCs w:val="22"/>
        </w:rPr>
        <w:t xml:space="preserve">. По данным авторов доклада «Большое правительство Владимира Путина и Политбюро 2.0», зимой 2011 - весной 2012 гг. наиболее успешными лоббистами губернаторских назначений оказались «члены Политбюро 2.0» В. Володин (4), С. Чемезов (2), С. Иванов (1), Ю. Ковальчук (1), И. </w:t>
      </w:r>
      <w:proofErr w:type="spellStart"/>
      <w:r w:rsidRPr="00DB1ECC">
        <w:rPr>
          <w:sz w:val="22"/>
          <w:szCs w:val="22"/>
        </w:rPr>
        <w:t>Сечин</w:t>
      </w:r>
      <w:proofErr w:type="spellEnd"/>
      <w:r w:rsidRPr="00DB1ECC">
        <w:rPr>
          <w:sz w:val="22"/>
          <w:szCs w:val="22"/>
        </w:rPr>
        <w:t xml:space="preserve"> (1), С. </w:t>
      </w:r>
      <w:proofErr w:type="spellStart"/>
      <w:r w:rsidRPr="00DB1ECC">
        <w:rPr>
          <w:sz w:val="22"/>
          <w:szCs w:val="22"/>
        </w:rPr>
        <w:t>Собянин</w:t>
      </w:r>
      <w:proofErr w:type="spellEnd"/>
      <w:r w:rsidRPr="00DB1ECC">
        <w:rPr>
          <w:sz w:val="22"/>
          <w:szCs w:val="22"/>
        </w:rPr>
        <w:t xml:space="preserve"> (1) и «кандидаты в члены Политбюро 2.0» И. Шувалов (1), С. Нарышкин (1), М. Прохоров (1). Из корпораций  наиболее эффективными в части такого лоббирования назывались «Газпром» (2), «Норильский никель» (2), «</w:t>
      </w:r>
      <w:proofErr w:type="spellStart"/>
      <w:r w:rsidRPr="00DB1ECC">
        <w:rPr>
          <w:sz w:val="22"/>
          <w:szCs w:val="22"/>
        </w:rPr>
        <w:t>ЛУКойл</w:t>
      </w:r>
      <w:proofErr w:type="spellEnd"/>
      <w:r w:rsidRPr="00DB1ECC">
        <w:rPr>
          <w:sz w:val="22"/>
          <w:szCs w:val="22"/>
        </w:rPr>
        <w:t>» (1) и «Северсталь» (1).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5B19"/>
    <w:multiLevelType w:val="hybridMultilevel"/>
    <w:tmpl w:val="51A211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6E2BF7"/>
    <w:multiLevelType w:val="hybridMultilevel"/>
    <w:tmpl w:val="CF1058D8"/>
    <w:lvl w:ilvl="0" w:tplc="AFB8B23C">
      <w:start w:val="25"/>
      <w:numFmt w:val="bullet"/>
      <w:pStyle w:val="-1"/>
      <w:lvlText w:val=""/>
      <w:lvlJc w:val="left"/>
      <w:pPr>
        <w:ind w:left="1069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4A4"/>
    <w:rsid w:val="000803A3"/>
    <w:rsid w:val="000E6A70"/>
    <w:rsid w:val="001544D9"/>
    <w:rsid w:val="001C1141"/>
    <w:rsid w:val="001C389F"/>
    <w:rsid w:val="00267272"/>
    <w:rsid w:val="002B1BBB"/>
    <w:rsid w:val="003050FD"/>
    <w:rsid w:val="0030691E"/>
    <w:rsid w:val="00314D59"/>
    <w:rsid w:val="003A4DA3"/>
    <w:rsid w:val="004D7E8A"/>
    <w:rsid w:val="00512D9A"/>
    <w:rsid w:val="00567E64"/>
    <w:rsid w:val="005B56DC"/>
    <w:rsid w:val="006309C4"/>
    <w:rsid w:val="006522F9"/>
    <w:rsid w:val="00675B4E"/>
    <w:rsid w:val="00695267"/>
    <w:rsid w:val="006B7E03"/>
    <w:rsid w:val="006C503D"/>
    <w:rsid w:val="006F4D6E"/>
    <w:rsid w:val="0072656F"/>
    <w:rsid w:val="00795542"/>
    <w:rsid w:val="00797E8E"/>
    <w:rsid w:val="007A6066"/>
    <w:rsid w:val="007B13AB"/>
    <w:rsid w:val="007B69B2"/>
    <w:rsid w:val="00804976"/>
    <w:rsid w:val="0085087B"/>
    <w:rsid w:val="00891181"/>
    <w:rsid w:val="008D5259"/>
    <w:rsid w:val="00910499"/>
    <w:rsid w:val="00913833"/>
    <w:rsid w:val="0095302C"/>
    <w:rsid w:val="00975AF8"/>
    <w:rsid w:val="009770B0"/>
    <w:rsid w:val="009911F1"/>
    <w:rsid w:val="00A00C41"/>
    <w:rsid w:val="00A10E01"/>
    <w:rsid w:val="00A277C7"/>
    <w:rsid w:val="00A40D46"/>
    <w:rsid w:val="00A4652F"/>
    <w:rsid w:val="00A954A4"/>
    <w:rsid w:val="00AB2FFF"/>
    <w:rsid w:val="00AB7176"/>
    <w:rsid w:val="00AE1FEF"/>
    <w:rsid w:val="00AE61E5"/>
    <w:rsid w:val="00B52074"/>
    <w:rsid w:val="00B5346D"/>
    <w:rsid w:val="00B70F61"/>
    <w:rsid w:val="00BB209F"/>
    <w:rsid w:val="00BB2B08"/>
    <w:rsid w:val="00BD1A9E"/>
    <w:rsid w:val="00C63537"/>
    <w:rsid w:val="00C645AA"/>
    <w:rsid w:val="00C8618B"/>
    <w:rsid w:val="00CB60D1"/>
    <w:rsid w:val="00CB6775"/>
    <w:rsid w:val="00D43699"/>
    <w:rsid w:val="00DA2973"/>
    <w:rsid w:val="00DA5E79"/>
    <w:rsid w:val="00DB1ECC"/>
    <w:rsid w:val="00E21751"/>
    <w:rsid w:val="00E815B5"/>
    <w:rsid w:val="00ED426A"/>
    <w:rsid w:val="00ED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D1"/>
    <w:pPr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Цитата-1"/>
    <w:basedOn w:val="a"/>
    <w:qFormat/>
    <w:rsid w:val="0072656F"/>
    <w:pPr>
      <w:numPr>
        <w:numId w:val="1"/>
      </w:numPr>
      <w:tabs>
        <w:tab w:val="left" w:pos="1155"/>
        <w:tab w:val="left" w:pos="5387"/>
      </w:tabs>
      <w:spacing w:after="200" w:line="276" w:lineRule="auto"/>
      <w:jc w:val="left"/>
    </w:pPr>
    <w:rPr>
      <w:rFonts w:ascii="Courier New" w:eastAsia="Times New Roman" w:hAnsi="Courier New" w:cs="Courier New"/>
      <w:sz w:val="20"/>
      <w:szCs w:val="20"/>
      <w:lang w:eastAsia="en-US" w:bidi="en-US"/>
    </w:rPr>
  </w:style>
  <w:style w:type="table" w:styleId="a3">
    <w:name w:val="Table Grid"/>
    <w:basedOn w:val="a1"/>
    <w:uiPriority w:val="59"/>
    <w:rsid w:val="007A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06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21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751"/>
    <w:rPr>
      <w:rFonts w:ascii="Times New Roman" w:hAnsi="Times New Roman"/>
    </w:rPr>
  </w:style>
  <w:style w:type="character" w:styleId="a7">
    <w:name w:val="page number"/>
    <w:basedOn w:val="a0"/>
    <w:uiPriority w:val="99"/>
    <w:semiHidden/>
    <w:unhideWhenUsed/>
    <w:rsid w:val="00E21751"/>
  </w:style>
  <w:style w:type="character" w:styleId="a8">
    <w:name w:val="Hyperlink"/>
    <w:basedOn w:val="a0"/>
    <w:uiPriority w:val="99"/>
    <w:semiHidden/>
    <w:unhideWhenUsed/>
    <w:rsid w:val="00B5346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1C1141"/>
  </w:style>
  <w:style w:type="character" w:customStyle="1" w:styleId="aa">
    <w:name w:val="Текст сноски Знак"/>
    <w:basedOn w:val="a0"/>
    <w:link w:val="a9"/>
    <w:uiPriority w:val="99"/>
    <w:rsid w:val="001C1141"/>
    <w:rPr>
      <w:rFonts w:ascii="Times New Roman" w:hAnsi="Times New Roman"/>
    </w:rPr>
  </w:style>
  <w:style w:type="character" w:styleId="ab">
    <w:name w:val="footnote reference"/>
    <w:basedOn w:val="a0"/>
    <w:uiPriority w:val="99"/>
    <w:unhideWhenUsed/>
    <w:rsid w:val="001C11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D1"/>
    <w:pPr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Цитата-1"/>
    <w:basedOn w:val="a"/>
    <w:qFormat/>
    <w:rsid w:val="0072656F"/>
    <w:pPr>
      <w:numPr>
        <w:numId w:val="1"/>
      </w:numPr>
      <w:tabs>
        <w:tab w:val="left" w:pos="1155"/>
        <w:tab w:val="left" w:pos="5387"/>
      </w:tabs>
      <w:spacing w:after="200" w:line="276" w:lineRule="auto"/>
      <w:jc w:val="left"/>
    </w:pPr>
    <w:rPr>
      <w:rFonts w:ascii="Courier New" w:eastAsia="Times New Roman" w:hAnsi="Courier New" w:cs="Courier New"/>
      <w:sz w:val="20"/>
      <w:szCs w:val="20"/>
      <w:lang w:eastAsia="en-US" w:bidi="en-US"/>
    </w:rPr>
  </w:style>
  <w:style w:type="table" w:styleId="a3">
    <w:name w:val="Table Grid"/>
    <w:basedOn w:val="a1"/>
    <w:uiPriority w:val="59"/>
    <w:rsid w:val="007A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06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21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751"/>
    <w:rPr>
      <w:rFonts w:ascii="Times New Roman" w:hAnsi="Times New Roman"/>
    </w:rPr>
  </w:style>
  <w:style w:type="character" w:styleId="a7">
    <w:name w:val="page number"/>
    <w:basedOn w:val="a0"/>
    <w:uiPriority w:val="99"/>
    <w:semiHidden/>
    <w:unhideWhenUsed/>
    <w:rsid w:val="00E21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chenko.ru/analitika/analitika_2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12412</Characters>
  <Application>Microsoft Office Word</Application>
  <DocSecurity>4</DocSecurity>
  <Lines>103</Lines>
  <Paragraphs>29</Paragraphs>
  <ScaleCrop>false</ScaleCrop>
  <Company>РФ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Виноградов</dc:creator>
  <cp:lastModifiedBy>Kolezev</cp:lastModifiedBy>
  <cp:revision>2</cp:revision>
  <dcterms:created xsi:type="dcterms:W3CDTF">2012-10-01T04:58:00Z</dcterms:created>
  <dcterms:modified xsi:type="dcterms:W3CDTF">2012-10-01T04:58:00Z</dcterms:modified>
</cp:coreProperties>
</file>